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  <w:rPr>
          <w:sz w:val="48"/>
        </w:rPr>
      </w:pPr>
      <w:r>
        <w:rPr>
          <w:rFonts w:hint="eastAsia"/>
          <w:sz w:val="48"/>
        </w:rPr>
        <w:t>临沂跨境电商公共服务平台</w:t>
      </w:r>
    </w:p>
    <w:p>
      <w:pPr>
        <w:spacing w:line="360" w:lineRule="auto"/>
        <w:jc w:val="center"/>
        <w:rPr>
          <w:sz w:val="48"/>
        </w:rPr>
      </w:pPr>
      <w:r>
        <w:rPr>
          <w:rFonts w:hint="eastAsia"/>
          <w:sz w:val="48"/>
        </w:rPr>
        <w:t>操作手册</w:t>
      </w: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tabs>
          <w:tab w:val="left" w:pos="1965"/>
        </w:tabs>
        <w:spacing w:line="360" w:lineRule="auto"/>
        <w:jc w:val="center"/>
      </w:pPr>
      <w:r>
        <w:rPr>
          <w:rFonts w:hint="eastAsia"/>
        </w:rPr>
        <w:t>2020.11.13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pStyle w:val="2"/>
        <w:rPr>
          <w:sz w:val="28"/>
        </w:rPr>
      </w:pPr>
      <w:r>
        <w:rPr>
          <w:rFonts w:hint="eastAsia"/>
          <w:sz w:val="28"/>
        </w:rPr>
        <w:t>一、跨境进口申报系统操作手册</w:t>
      </w:r>
    </w:p>
    <w:p>
      <w:pPr>
        <w:spacing w:line="360" w:lineRule="auto"/>
        <w:ind w:firstLine="424" w:firstLineChars="202"/>
      </w:pPr>
      <w:r>
        <w:rPr>
          <w:rFonts w:hint="eastAsia"/>
        </w:rPr>
        <w:t>跨境报文管理，主要针对各类报文的查看，一般提供给技术人员查看。</w:t>
      </w:r>
    </w:p>
    <w:p>
      <w:pPr>
        <w:spacing w:line="360" w:lineRule="auto"/>
        <w:ind w:firstLine="424" w:firstLineChars="202"/>
      </w:pPr>
      <w:r>
        <w:rPr>
          <w:rFonts w:hint="eastAsia"/>
        </w:rPr>
        <w:t>主要功能：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海关订单管理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海关支付单管理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海关运单管理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海关清单管理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海关撤销申请单管理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海关退货申请单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海关入库明细单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海关电子税单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海关电子税单状态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海关运单状态</w:t>
      </w:r>
    </w:p>
    <w:p>
      <w:pPr>
        <w:pStyle w:val="3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1.1海关订单查询</w:t>
      </w:r>
    </w:p>
    <w:p>
      <w:pPr>
        <w:spacing w:line="360" w:lineRule="auto"/>
        <w:ind w:firstLine="424" w:firstLineChars="202"/>
      </w:pPr>
      <w:r>
        <w:rPr>
          <w:rFonts w:hint="eastAsia"/>
        </w:rPr>
        <w:t>电商企业通过API接口将订单数据发送至服务平台，并在服务平台查询订单详情和订单申报状态信息。</w:t>
      </w:r>
    </w:p>
    <w:p>
      <w:r>
        <w:drawing>
          <wp:inline distT="0" distB="0" distL="0" distR="0">
            <wp:extent cx="5274310" cy="1547495"/>
            <wp:effectExtent l="19050" t="0" r="2540" b="0"/>
            <wp:docPr id="91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3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7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1.2海关支付单查询</w:t>
      </w:r>
    </w:p>
    <w:p>
      <w:pPr>
        <w:spacing w:line="360" w:lineRule="auto"/>
        <w:ind w:firstLine="424" w:firstLineChars="202"/>
      </w:pPr>
      <w:r>
        <w:rPr>
          <w:rFonts w:hint="eastAsia"/>
        </w:rPr>
        <w:t>支付企业通过API接口将支付数据发送至服务平台，并在服务平台查询支付单详情和申报状态信息。</w:t>
      </w:r>
    </w:p>
    <w:p>
      <w:r>
        <w:rPr>
          <w:rFonts w:hint="eastAsia"/>
        </w:rPr>
        <w:drawing>
          <wp:inline distT="0" distB="0" distL="0" distR="0">
            <wp:extent cx="5274310" cy="1502410"/>
            <wp:effectExtent l="19050" t="0" r="2540" b="0"/>
            <wp:docPr id="9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4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2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1.3海关运单查询</w:t>
      </w:r>
    </w:p>
    <w:p>
      <w:pPr>
        <w:spacing w:line="360" w:lineRule="auto"/>
        <w:ind w:firstLine="424" w:firstLineChars="202"/>
      </w:pPr>
      <w:r>
        <w:rPr>
          <w:rFonts w:hint="eastAsia"/>
        </w:rPr>
        <w:t>快递企业通过API接口将运单数据发送至服务平台，并在服务平台查询运单详情和申报状态信息。</w:t>
      </w:r>
    </w:p>
    <w:p>
      <w:r>
        <w:rPr>
          <w:rFonts w:hint="eastAsia"/>
        </w:rPr>
        <w:drawing>
          <wp:inline distT="0" distB="0" distL="0" distR="0">
            <wp:extent cx="5274310" cy="1575435"/>
            <wp:effectExtent l="19050" t="0" r="2540" b="0"/>
            <wp:docPr id="9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4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1.4海关清单查询</w:t>
      </w:r>
    </w:p>
    <w:p>
      <w:pPr>
        <w:spacing w:line="360" w:lineRule="auto"/>
        <w:ind w:firstLine="424" w:firstLineChars="202"/>
      </w:pPr>
      <w:r>
        <w:rPr>
          <w:rFonts w:hint="eastAsia"/>
        </w:rPr>
        <w:t>服务平台整合清单并发送总署，电商企业登入服务平台查询清单详情和申报状态信息。</w:t>
      </w:r>
    </w:p>
    <w:p>
      <w:r>
        <w:rPr>
          <w:rFonts w:hint="eastAsia"/>
        </w:rPr>
        <w:drawing>
          <wp:inline distT="0" distB="0" distL="0" distR="0">
            <wp:extent cx="5274310" cy="1503680"/>
            <wp:effectExtent l="19050" t="0" r="2540" b="0"/>
            <wp:docPr id="94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4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4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1.5海关撤销申请单查询</w:t>
      </w:r>
    </w:p>
    <w:p>
      <w:pPr>
        <w:spacing w:line="360" w:lineRule="auto"/>
        <w:ind w:firstLine="424" w:firstLineChars="202"/>
      </w:pPr>
      <w:r>
        <w:rPr>
          <w:rFonts w:hint="eastAsia"/>
        </w:rPr>
        <w:t>按业务需求维度检索清单撤销状态，显示撤销清单的基本内容。查询结果能进行数据导出，生成相应文档。</w:t>
      </w:r>
    </w:p>
    <w:p>
      <w:r>
        <w:rPr>
          <w:rFonts w:hint="eastAsia"/>
        </w:rPr>
        <w:drawing>
          <wp:inline distT="0" distB="0" distL="0" distR="0">
            <wp:extent cx="5274310" cy="1512570"/>
            <wp:effectExtent l="19050" t="0" r="2540" b="0"/>
            <wp:docPr id="95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4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3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1.6海关退货申请</w:t>
      </w:r>
    </w:p>
    <w:p>
      <w:pPr>
        <w:spacing w:line="360" w:lineRule="auto"/>
        <w:ind w:firstLine="424" w:firstLineChars="202"/>
      </w:pPr>
      <w:r>
        <w:rPr>
          <w:rFonts w:hint="eastAsia"/>
        </w:rPr>
        <w:t>按业务需求维度检索查询退货清单状态，显示基本内容。</w:t>
      </w:r>
    </w:p>
    <w:p>
      <w:r>
        <w:rPr>
          <w:rFonts w:hint="eastAsia"/>
        </w:rPr>
        <w:drawing>
          <wp:inline distT="0" distB="0" distL="0" distR="0">
            <wp:extent cx="5274310" cy="1532255"/>
            <wp:effectExtent l="19050" t="0" r="2540" b="0"/>
            <wp:docPr id="96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5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2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1.7海关入库明细单</w:t>
      </w:r>
    </w:p>
    <w:p>
      <w:pPr>
        <w:spacing w:line="360" w:lineRule="auto"/>
        <w:ind w:firstLine="424" w:firstLineChars="202"/>
      </w:pPr>
      <w:r>
        <w:rPr>
          <w:rFonts w:hint="eastAsia"/>
        </w:rPr>
        <w:t>海关入库明细单，主要是针对9610进口的单子查询。</w:t>
      </w:r>
    </w:p>
    <w:p>
      <w:r>
        <w:rPr>
          <w:rFonts w:hint="eastAsia"/>
        </w:rPr>
        <w:drawing>
          <wp:inline distT="0" distB="0" distL="0" distR="0">
            <wp:extent cx="5274310" cy="1492885"/>
            <wp:effectExtent l="19050" t="0" r="2540" b="0"/>
            <wp:docPr id="97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5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3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1.8海关电子税单</w:t>
      </w:r>
    </w:p>
    <w:p>
      <w:pPr>
        <w:spacing w:line="360" w:lineRule="auto"/>
        <w:ind w:firstLine="424" w:firstLineChars="202"/>
      </w:pPr>
      <w:r>
        <w:rPr>
          <w:rFonts w:hint="eastAsia"/>
        </w:rPr>
        <w:t>企业申报的网购保税订单、直购订单发送到平台后，平台会对税款进行计算，并将生成好的税款提供企业查询。</w:t>
      </w:r>
    </w:p>
    <w:p>
      <w:r>
        <w:rPr>
          <w:rFonts w:hint="eastAsia"/>
        </w:rPr>
        <w:drawing>
          <wp:inline distT="0" distB="0" distL="0" distR="0">
            <wp:extent cx="5274310" cy="1520190"/>
            <wp:effectExtent l="19050" t="0" r="2540" b="0"/>
            <wp:docPr id="9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5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0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1.9海关电子税单状态查询</w:t>
      </w:r>
    </w:p>
    <w:p>
      <w:pPr>
        <w:spacing w:line="360" w:lineRule="auto"/>
        <w:ind w:firstLine="424" w:firstLineChars="202"/>
      </w:pPr>
      <w:r>
        <w:rPr>
          <w:rFonts w:hint="eastAsia"/>
        </w:rPr>
        <w:t>企业申报的网购保税订单、直购订单发送到平台后，平台会对税款进行计算，并将生成好的税款的状态进行查询。</w:t>
      </w:r>
    </w:p>
    <w:p>
      <w:r>
        <w:rPr>
          <w:rFonts w:hint="eastAsia"/>
        </w:rPr>
        <w:drawing>
          <wp:inline distT="0" distB="0" distL="0" distR="0">
            <wp:extent cx="5274310" cy="1486535"/>
            <wp:effectExtent l="19050" t="0" r="2540" b="0"/>
            <wp:docPr id="99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6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6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1.10海关运单查询</w:t>
      </w:r>
    </w:p>
    <w:p>
      <w:r>
        <w:rPr>
          <w:rFonts w:hint="eastAsia"/>
        </w:rPr>
        <w:t>提供海关运单号进行明细的查询</w:t>
      </w:r>
    </w:p>
    <w:p>
      <w:r>
        <w:drawing>
          <wp:inline distT="0" distB="0" distL="0" distR="0">
            <wp:extent cx="5274310" cy="1499870"/>
            <wp:effectExtent l="19050" t="0" r="2540" b="0"/>
            <wp:docPr id="100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6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0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sz w:val="28"/>
        </w:rPr>
      </w:pPr>
      <w:r>
        <w:rPr>
          <w:rFonts w:hint="eastAsia"/>
          <w:sz w:val="28"/>
        </w:rPr>
        <w:t>二、跨境出口申报系统操作手册</w:t>
      </w:r>
    </w:p>
    <w:p>
      <w:pPr>
        <w:pStyle w:val="3"/>
      </w:pPr>
      <w:bookmarkStart w:id="0" w:name="_Toc493255614"/>
      <w:bookmarkStart w:id="1" w:name="_Toc35027384"/>
      <w:r>
        <w:rPr>
          <w:rFonts w:hint="eastAsia"/>
        </w:rPr>
        <w:t>2、跨境出口业务模式</w:t>
      </w:r>
      <w:r>
        <w:t>概述</w:t>
      </w:r>
      <w:bookmarkEnd w:id="0"/>
      <w:bookmarkEnd w:id="1"/>
    </w:p>
    <w:p>
      <w:pPr>
        <w:pStyle w:val="3"/>
        <w:spacing w:before="0" w:after="0" w:line="360" w:lineRule="auto"/>
        <w:rPr>
          <w:sz w:val="28"/>
          <w:szCs w:val="28"/>
        </w:rPr>
      </w:pPr>
      <w:bookmarkStart w:id="2" w:name="_Toc493255615"/>
      <w:bookmarkStart w:id="3" w:name="_Toc35027385"/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.1</w:t>
      </w:r>
      <w:r>
        <w:rPr>
          <w:rFonts w:hint="eastAsia"/>
          <w:sz w:val="28"/>
          <w:szCs w:val="28"/>
        </w:rPr>
        <w:t>关于</w:t>
      </w:r>
      <w:bookmarkEnd w:id="2"/>
      <w:r>
        <w:rPr>
          <w:rFonts w:hint="eastAsia"/>
          <w:sz w:val="28"/>
          <w:szCs w:val="28"/>
        </w:rPr>
        <w:t>跨境出口业务模式</w:t>
      </w:r>
      <w:bookmarkEnd w:id="3"/>
      <w:bookmarkStart w:id="4" w:name="_Toc493255616"/>
    </w:p>
    <w:p>
      <w:pPr>
        <w:spacing w:line="360" w:lineRule="auto"/>
        <w:ind w:firstLine="424" w:firstLineChars="202"/>
        <w:rPr>
          <w:b/>
          <w:bCs/>
        </w:rPr>
      </w:pPr>
      <w:r>
        <w:rPr>
          <w:rFonts w:hint="eastAsia"/>
        </w:rPr>
        <w:t>符合条件的电子商务企业或平台与综试区联网，境外个人跨境网购后，电子商务企业或平台将电子订单、 支付凭证、 电子运单等传输给综试区，电子商务企业或其代理人向综试区提交申报清单，商品以邮件、 快件方式运送出境。货物采用“清单核放、汇总申报”方式通关，简化申报模式下货物采用“清单核放，汇总统计”方式通关。</w:t>
      </w:r>
      <w:r>
        <w:rPr>
          <w:rFonts w:hint="eastAsia"/>
          <w:b/>
          <w:bCs/>
        </w:rPr>
        <w:t xml:space="preserve"> </w:t>
      </w:r>
    </w:p>
    <w:p>
      <w:pPr>
        <w:pStyle w:val="3"/>
        <w:spacing w:before="0" w:after="0" w:line="360" w:lineRule="auto"/>
        <w:rPr>
          <w:sz w:val="28"/>
          <w:szCs w:val="28"/>
        </w:rPr>
      </w:pPr>
      <w:bookmarkStart w:id="5" w:name="_Toc35027386"/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.2</w:t>
      </w:r>
      <w:bookmarkEnd w:id="4"/>
      <w:r>
        <w:rPr>
          <w:rFonts w:hint="eastAsia"/>
          <w:sz w:val="28"/>
          <w:szCs w:val="28"/>
        </w:rPr>
        <w:t>关于跨境出口业务流程环节</w:t>
      </w:r>
      <w:bookmarkEnd w:id="5"/>
    </w:p>
    <w:p>
      <w:pPr>
        <w:tabs>
          <w:tab w:val="left" w:pos="540"/>
        </w:tabs>
        <w:spacing w:line="360" w:lineRule="auto"/>
        <w:jc w:val="left"/>
      </w:pPr>
      <w:r>
        <w:drawing>
          <wp:inline distT="0" distB="0" distL="0" distR="0">
            <wp:extent cx="5274310" cy="1736725"/>
            <wp:effectExtent l="19050" t="0" r="2540" b="0"/>
            <wp:docPr id="2" name="图片 1" descr="C:\Users\admin\AppData\Local\Temp\1584070018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admin\AppData\Local\Temp\1584070018(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7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bookmarkStart w:id="6" w:name="_Toc493255617"/>
      <w:bookmarkStart w:id="7" w:name="_Toc35027387"/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.3</w:t>
      </w:r>
      <w:bookmarkEnd w:id="6"/>
      <w:r>
        <w:rPr>
          <w:sz w:val="28"/>
          <w:szCs w:val="28"/>
        </w:rPr>
        <w:t>关于</w:t>
      </w:r>
      <w:r>
        <w:rPr>
          <w:rFonts w:hint="eastAsia"/>
          <w:sz w:val="28"/>
          <w:szCs w:val="28"/>
        </w:rPr>
        <w:t xml:space="preserve"> 跨境出口业务通关详细流程</w:t>
      </w:r>
      <w:bookmarkEnd w:id="7"/>
    </w:p>
    <w:p>
      <w:pPr>
        <w:spacing w:line="360" w:lineRule="auto"/>
      </w:pPr>
      <w:r>
        <w:drawing>
          <wp:inline distT="0" distB="0" distL="0" distR="0">
            <wp:extent cx="5274310" cy="2834005"/>
            <wp:effectExtent l="19050" t="0" r="2540" b="0"/>
            <wp:docPr id="7" name="图片 2" descr="C:\Users\admin\AppData\Local\Temp\1584070167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admin\AppData\Local\Temp\1584070167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bookmarkStart w:id="8" w:name="_Toc35027388"/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4关于跨境出口单据角色及流程</w:t>
      </w:r>
      <w:bookmarkEnd w:id="8"/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电子商务企业或电子商务交易平台角色单据：订单、收款单、清单、总分单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物流企业角色单据：运单、离境单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监管场所经营人角色单据：运抵单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跨境出口业务单据申报流程：订单、付款单---运单---清单---总分单</w:t>
      </w:r>
      <w:r>
        <w:t>—</w:t>
      </w:r>
      <w:r>
        <w:rPr>
          <w:rFonts w:hint="eastAsia"/>
        </w:rPr>
        <w:t>运抵单---离境单</w:t>
      </w:r>
    </w:p>
    <w:p>
      <w:pPr>
        <w:spacing w:line="360" w:lineRule="auto"/>
      </w:pPr>
    </w:p>
    <w:p>
      <w:pPr>
        <w:spacing w:line="360" w:lineRule="auto"/>
      </w:pPr>
      <w:r>
        <w:drawing>
          <wp:inline distT="0" distB="0" distL="0" distR="0">
            <wp:extent cx="5274310" cy="1969770"/>
            <wp:effectExtent l="19050" t="0" r="2540" b="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0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bookmarkStart w:id="9" w:name="_Toc35027390"/>
      <w:bookmarkStart w:id="10" w:name="_Toc493255618"/>
      <w:r>
        <w:rPr>
          <w:rFonts w:hint="eastAsia"/>
          <w:sz w:val="28"/>
          <w:szCs w:val="28"/>
        </w:rPr>
        <w:t>2.5本平台</w:t>
      </w:r>
      <w:r>
        <w:rPr>
          <w:sz w:val="28"/>
          <w:szCs w:val="28"/>
        </w:rPr>
        <w:t>主要功能模块</w:t>
      </w:r>
      <w:bookmarkEnd w:id="9"/>
      <w:bookmarkEnd w:id="10"/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海关订单管理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海关收款单管理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海关运单管理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海关清单管理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海关总分单管理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海关运抵单管理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海关离境单管理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海关撤销申请单管理</w:t>
      </w:r>
    </w:p>
    <w:p>
      <w:pPr>
        <w:pStyle w:val="15"/>
        <w:numPr>
          <w:ilvl w:val="0"/>
          <w:numId w:val="1"/>
        </w:numPr>
        <w:tabs>
          <w:tab w:val="left" w:pos="540"/>
        </w:tabs>
        <w:spacing w:line="360" w:lineRule="auto"/>
        <w:ind w:firstLineChars="0"/>
        <w:jc w:val="left"/>
      </w:pPr>
      <w:r>
        <w:rPr>
          <w:rFonts w:hint="eastAsia"/>
        </w:rPr>
        <w:t>海关汇总申请单</w:t>
      </w:r>
    </w:p>
    <w:p>
      <w:pPr>
        <w:spacing w:line="360" w:lineRule="auto"/>
      </w:pPr>
    </w:p>
    <w:p>
      <w:pPr>
        <w:pStyle w:val="3"/>
        <w:spacing w:before="0" w:after="0" w:line="360" w:lineRule="auto"/>
        <w:rPr>
          <w:sz w:val="28"/>
          <w:szCs w:val="28"/>
        </w:rPr>
      </w:pPr>
      <w:bookmarkStart w:id="11" w:name="_Toc35027394"/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.6海关订单管理</w:t>
      </w:r>
      <w:bookmarkEnd w:id="11"/>
    </w:p>
    <w:p>
      <w:r>
        <w:rPr>
          <w:rFonts w:hint="eastAsia"/>
        </w:rPr>
        <w:t>海关订单管理数据接入</w:t>
      </w:r>
    </w:p>
    <w:p>
      <w:pPr>
        <w:spacing w:line="360" w:lineRule="auto"/>
      </w:pPr>
      <w:r>
        <w:drawing>
          <wp:inline distT="0" distB="0" distL="0" distR="0">
            <wp:extent cx="5274310" cy="2228850"/>
            <wp:effectExtent l="0" t="0" r="0" b="635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numPr>
          <w:ilvl w:val="0"/>
          <w:numId w:val="2"/>
        </w:numPr>
        <w:spacing w:line="360" w:lineRule="auto"/>
        <w:ind w:left="567" w:firstLineChars="0"/>
      </w:pPr>
      <w:r>
        <w:rPr>
          <w:rFonts w:hint="eastAsia"/>
        </w:rPr>
        <w:t>用户角色定义：电子商务企业</w:t>
      </w:r>
    </w:p>
    <w:p>
      <w:pPr>
        <w:pStyle w:val="15"/>
        <w:numPr>
          <w:ilvl w:val="0"/>
          <w:numId w:val="2"/>
        </w:numPr>
        <w:spacing w:line="360" w:lineRule="auto"/>
        <w:ind w:left="567" w:firstLineChars="0"/>
      </w:pPr>
      <w:r>
        <w:rPr>
          <w:rFonts w:hint="eastAsia"/>
        </w:rPr>
        <w:t>用户根据总署统一版标准接口，接入跨境出口申报系统。</w:t>
      </w:r>
    </w:p>
    <w:p>
      <w:pPr>
        <w:pStyle w:val="15"/>
        <w:numPr>
          <w:ilvl w:val="0"/>
          <w:numId w:val="2"/>
        </w:numPr>
        <w:spacing w:line="360" w:lineRule="auto"/>
        <w:ind w:left="567" w:firstLineChars="0"/>
      </w:pPr>
      <w:r>
        <w:rPr>
          <w:rFonts w:hint="eastAsia"/>
        </w:rPr>
        <w:t>订单数据接入后，可查看订单详细信息，如下图所示：</w:t>
      </w:r>
    </w:p>
    <w:p>
      <w:pPr>
        <w:spacing w:line="360" w:lineRule="auto"/>
        <w:ind w:left="-153"/>
      </w:pPr>
      <w:r>
        <w:drawing>
          <wp:inline distT="0" distB="0" distL="0" distR="0">
            <wp:extent cx="5274310" cy="2282190"/>
            <wp:effectExtent l="0" t="0" r="0" b="381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12" w:name="_Toc35027396"/>
      <w:r>
        <w:rPr>
          <w:rFonts w:hint="eastAsia"/>
        </w:rPr>
        <w:t>订单</w:t>
      </w:r>
      <w:bookmarkEnd w:id="12"/>
      <w:r>
        <w:rPr>
          <w:rFonts w:hint="eastAsia"/>
        </w:rPr>
        <w:t>回执记录查看</w:t>
      </w:r>
    </w:p>
    <w:p>
      <w:pPr>
        <w:spacing w:line="360" w:lineRule="auto"/>
      </w:pPr>
      <w:r>
        <w:drawing>
          <wp:inline distT="0" distB="0" distL="0" distR="0">
            <wp:extent cx="5274310" cy="2072005"/>
            <wp:effectExtent l="0" t="0" r="0" b="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numPr>
          <w:ilvl w:val="0"/>
          <w:numId w:val="3"/>
        </w:numPr>
        <w:spacing w:line="360" w:lineRule="auto"/>
        <w:ind w:firstLineChars="0"/>
      </w:pPr>
      <w:r>
        <w:rPr>
          <w:rFonts w:hint="eastAsia"/>
        </w:rPr>
        <w:t>订单数据申报成功后， 可通过【回执记录】查看订单申报进度信息，如下图所示：</w:t>
      </w:r>
    </w:p>
    <w:p>
      <w:pPr>
        <w:spacing w:line="360" w:lineRule="auto"/>
      </w:pPr>
      <w:r>
        <w:drawing>
          <wp:inline distT="0" distB="0" distL="0" distR="0">
            <wp:extent cx="5274310" cy="1047750"/>
            <wp:effectExtent l="0" t="0" r="0" b="635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2.7海关收款单管理</w:t>
      </w:r>
    </w:p>
    <w:p>
      <w:r>
        <w:rPr>
          <w:rFonts w:hint="eastAsia"/>
        </w:rPr>
        <w:t>海关收款单管理数据接入</w:t>
      </w:r>
    </w:p>
    <w:p>
      <w:pPr>
        <w:spacing w:line="360" w:lineRule="auto"/>
      </w:pPr>
      <w:r>
        <w:drawing>
          <wp:inline distT="0" distB="0" distL="0" distR="0">
            <wp:extent cx="5274310" cy="2220595"/>
            <wp:effectExtent l="0" t="0" r="0" b="1905"/>
            <wp:docPr id="1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4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（1）用户角色定义：电子商务企业</w:t>
      </w:r>
    </w:p>
    <w:p>
      <w:pPr>
        <w:spacing w:line="360" w:lineRule="auto"/>
      </w:pPr>
      <w:r>
        <w:rPr>
          <w:rFonts w:hint="eastAsia"/>
        </w:rPr>
        <w:t>（2）用户根据总署统一版标准接口，接入跨境出口申报系统。</w:t>
      </w:r>
    </w:p>
    <w:p>
      <w:pPr>
        <w:spacing w:line="360" w:lineRule="auto"/>
      </w:pPr>
      <w:r>
        <w:rPr>
          <w:rFonts w:hint="eastAsia"/>
        </w:rPr>
        <w:t>（3）收款单数据接入后，可查看收款单详细信息，如下图所示：</w:t>
      </w:r>
    </w:p>
    <w:p>
      <w:pPr>
        <w:spacing w:line="360" w:lineRule="auto"/>
        <w:ind w:left="-153"/>
      </w:pPr>
      <w:r>
        <w:drawing>
          <wp:inline distT="0" distB="0" distL="0" distR="0">
            <wp:extent cx="5274310" cy="1450340"/>
            <wp:effectExtent l="0" t="0" r="0" b="0"/>
            <wp:docPr id="1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5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收款单回执记录查看</w:t>
      </w:r>
    </w:p>
    <w:p>
      <w:pPr>
        <w:spacing w:line="360" w:lineRule="auto"/>
      </w:pPr>
      <w:r>
        <w:drawing>
          <wp:inline distT="0" distB="0" distL="0" distR="0">
            <wp:extent cx="5274310" cy="2055495"/>
            <wp:effectExtent l="0" t="0" r="0" b="1905"/>
            <wp:docPr id="1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6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（1）收款单数据申报成功后， 可通过【回执记录】查看收款单申报进度信息，如下图所示：</w:t>
      </w:r>
    </w:p>
    <w:p>
      <w:pPr>
        <w:spacing w:line="360" w:lineRule="auto"/>
      </w:pPr>
      <w:r>
        <w:drawing>
          <wp:inline distT="0" distB="0" distL="0" distR="0">
            <wp:extent cx="5274310" cy="838200"/>
            <wp:effectExtent l="0" t="0" r="0" b="0"/>
            <wp:docPr id="1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3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</w:p>
    <w:p>
      <w:pPr>
        <w:pStyle w:val="3"/>
        <w:spacing w:before="0" w:after="0" w:line="360" w:lineRule="auto"/>
        <w:rPr>
          <w:sz w:val="28"/>
          <w:szCs w:val="28"/>
        </w:rPr>
      </w:pPr>
      <w:bookmarkStart w:id="13" w:name="_Toc35027397"/>
      <w:r>
        <w:rPr>
          <w:rFonts w:hint="eastAsia"/>
          <w:sz w:val="28"/>
          <w:szCs w:val="28"/>
        </w:rPr>
        <w:t>2.8海关运单管理</w:t>
      </w:r>
      <w:bookmarkEnd w:id="13"/>
    </w:p>
    <w:p>
      <w:r>
        <w:rPr>
          <w:rFonts w:hint="eastAsia"/>
        </w:rPr>
        <w:t>海关运单数据接入</w:t>
      </w:r>
    </w:p>
    <w:p>
      <w:pPr>
        <w:spacing w:line="360" w:lineRule="auto"/>
      </w:pPr>
      <w:r>
        <w:drawing>
          <wp:inline distT="0" distB="0" distL="0" distR="0">
            <wp:extent cx="5274310" cy="2214880"/>
            <wp:effectExtent l="0" t="0" r="0" b="0"/>
            <wp:docPr id="1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7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numPr>
          <w:ilvl w:val="0"/>
          <w:numId w:val="4"/>
        </w:numPr>
        <w:spacing w:line="360" w:lineRule="auto"/>
        <w:ind w:left="709" w:firstLineChars="0"/>
      </w:pPr>
      <w:r>
        <w:rPr>
          <w:rFonts w:hint="eastAsia"/>
        </w:rPr>
        <w:t>用户角色定义：物流企业（运单）</w:t>
      </w:r>
    </w:p>
    <w:p>
      <w:pPr>
        <w:pStyle w:val="15"/>
        <w:numPr>
          <w:ilvl w:val="0"/>
          <w:numId w:val="4"/>
        </w:numPr>
        <w:spacing w:line="360" w:lineRule="auto"/>
        <w:ind w:left="709" w:firstLineChars="0"/>
      </w:pPr>
      <w:r>
        <w:rPr>
          <w:rFonts w:hint="eastAsia"/>
        </w:rPr>
        <w:t>用户根据总署统一版标准接口，接入跨境出口申报系统。</w:t>
      </w:r>
    </w:p>
    <w:p>
      <w:pPr>
        <w:pStyle w:val="15"/>
        <w:numPr>
          <w:ilvl w:val="0"/>
          <w:numId w:val="4"/>
        </w:numPr>
        <w:spacing w:line="360" w:lineRule="auto"/>
        <w:ind w:left="709" w:firstLineChars="0"/>
      </w:pPr>
      <w:r>
        <w:rPr>
          <w:rFonts w:hint="eastAsia"/>
        </w:rPr>
        <w:t>运单数据接入后，可查看运单详细信息，如下图所示：</w:t>
      </w:r>
    </w:p>
    <w:p>
      <w:pPr>
        <w:spacing w:line="360" w:lineRule="auto"/>
        <w:ind w:left="-11"/>
      </w:pPr>
      <w:r>
        <w:drawing>
          <wp:inline distT="0" distB="0" distL="0" distR="0">
            <wp:extent cx="5274310" cy="1760855"/>
            <wp:effectExtent l="0" t="0" r="0" b="4445"/>
            <wp:docPr id="2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8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运单回执记录查看</w:t>
      </w:r>
    </w:p>
    <w:p>
      <w:pPr>
        <w:spacing w:line="360" w:lineRule="auto"/>
        <w:ind w:firstLine="210" w:firstLineChars="100"/>
      </w:pPr>
      <w:r>
        <w:drawing>
          <wp:inline distT="0" distB="0" distL="0" distR="0">
            <wp:extent cx="5274310" cy="2220595"/>
            <wp:effectExtent l="0" t="0" r="0" b="1905"/>
            <wp:docPr id="2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9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（1）运单数据申报成功后， 可通过【回执记录】查看运单申报进度信息，如下图所示：</w:t>
      </w:r>
    </w:p>
    <w:p>
      <w:pPr>
        <w:spacing w:line="360" w:lineRule="auto"/>
      </w:pPr>
      <w:r>
        <w:drawing>
          <wp:inline distT="0" distB="0" distL="0" distR="0">
            <wp:extent cx="5274310" cy="1006475"/>
            <wp:effectExtent l="0" t="0" r="0" b="0"/>
            <wp:docPr id="2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1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0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</w:p>
    <w:p>
      <w:pPr>
        <w:pStyle w:val="3"/>
        <w:spacing w:before="0" w:after="0" w:line="360" w:lineRule="auto"/>
        <w:rPr>
          <w:sz w:val="28"/>
          <w:szCs w:val="28"/>
        </w:rPr>
      </w:pPr>
      <w:bookmarkStart w:id="14" w:name="_Toc35027400"/>
      <w:r>
        <w:rPr>
          <w:rFonts w:hint="eastAsia"/>
          <w:sz w:val="28"/>
          <w:szCs w:val="28"/>
        </w:rPr>
        <w:t>2.9海关清单管理</w:t>
      </w:r>
      <w:bookmarkEnd w:id="14"/>
    </w:p>
    <w:p>
      <w:bookmarkStart w:id="15" w:name="_Toc35027401"/>
      <w:r>
        <w:rPr>
          <w:rFonts w:hint="eastAsia"/>
        </w:rPr>
        <w:t>海关清单</w:t>
      </w:r>
      <w:bookmarkEnd w:id="15"/>
      <w:r>
        <w:rPr>
          <w:rFonts w:hint="eastAsia"/>
        </w:rPr>
        <w:t>数据接入</w:t>
      </w:r>
    </w:p>
    <w:p>
      <w:pPr>
        <w:spacing w:line="360" w:lineRule="auto"/>
      </w:pPr>
      <w:r>
        <w:drawing>
          <wp:inline distT="0" distB="0" distL="0" distR="0">
            <wp:extent cx="5274310" cy="2603500"/>
            <wp:effectExtent l="0" t="0" r="0" b="0"/>
            <wp:docPr id="30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2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numPr>
          <w:ilvl w:val="0"/>
          <w:numId w:val="5"/>
        </w:numPr>
        <w:spacing w:line="360" w:lineRule="auto"/>
        <w:ind w:left="567" w:firstLineChars="0"/>
      </w:pPr>
      <w:r>
        <w:rPr>
          <w:rFonts w:hint="eastAsia"/>
        </w:rPr>
        <w:t>用户角色定义：电商企业或电子商务交易平台（清单）</w:t>
      </w:r>
    </w:p>
    <w:p>
      <w:pPr>
        <w:spacing w:line="360" w:lineRule="auto"/>
        <w:ind w:left="-153"/>
      </w:pPr>
      <w:r>
        <w:rPr>
          <w:rFonts w:hint="eastAsia"/>
        </w:rPr>
        <w:t>（2）清单申报节点：需要订单、付款单、运单三单数据成功申报至海关，才可触发并申报清单数据，否则海关认定无效清单，做退单或数据异常处理。</w:t>
      </w:r>
    </w:p>
    <w:p>
      <w:pPr>
        <w:spacing w:line="360" w:lineRule="auto"/>
        <w:ind w:left="-153"/>
      </w:pPr>
      <w:r>
        <w:rPr>
          <w:rFonts w:hint="eastAsia"/>
        </w:rPr>
        <w:t>（3）用户根据总署统一版标准接口，接入跨境出口申报系统。</w:t>
      </w:r>
    </w:p>
    <w:p>
      <w:pPr>
        <w:spacing w:line="360" w:lineRule="auto"/>
        <w:ind w:left="-153"/>
      </w:pPr>
      <w:r>
        <w:rPr>
          <w:rFonts w:hint="eastAsia"/>
        </w:rPr>
        <w:t>（4）清单数据接入后，可查看清单详细信息，如下图所示：</w:t>
      </w:r>
    </w:p>
    <w:p>
      <w:pPr>
        <w:spacing w:line="360" w:lineRule="auto"/>
      </w:pPr>
      <w:r>
        <w:drawing>
          <wp:inline distT="0" distB="0" distL="0" distR="0">
            <wp:extent cx="5274310" cy="2417445"/>
            <wp:effectExtent l="0" t="0" r="0" b="0"/>
            <wp:docPr id="3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4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16" w:name="_Toc35027402"/>
      <w:r>
        <w:rPr>
          <w:rFonts w:hint="eastAsia"/>
        </w:rPr>
        <w:t>海关清单状态提示</w:t>
      </w:r>
      <w:bookmarkEnd w:id="16"/>
    </w:p>
    <w:p>
      <w:pPr>
        <w:spacing w:line="360" w:lineRule="auto"/>
      </w:pPr>
      <w:r>
        <w:drawing>
          <wp:inline distT="0" distB="0" distL="0" distR="0">
            <wp:extent cx="5274310" cy="2091690"/>
            <wp:effectExtent l="0" t="0" r="0" b="3810"/>
            <wp:docPr id="39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3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25" w:firstLineChars="250"/>
      </w:pPr>
      <w:r>
        <w:rPr>
          <w:rFonts w:hint="eastAsia"/>
        </w:rPr>
        <w:t>用户可根据不同状态监视，发至海关后的清单实时状态。</w:t>
      </w:r>
    </w:p>
    <w:p>
      <w:pPr>
        <w:spacing w:line="360" w:lineRule="auto"/>
        <w:ind w:firstLine="525" w:firstLineChars="250"/>
      </w:pPr>
      <w:r>
        <w:rPr>
          <w:rFonts w:hint="eastAsia"/>
        </w:rPr>
        <w:t>状态：“未申报”清单数据未点击申报、“已发送”清单数据已发送至海关、“海关入库”清单数据海关已成功接收、“审结”清单数据海关已电子化审批通过、“查验”实物海关布控查验、“放行”实物通过完成并放行。“海关退单”：清单数据申报不符合填写规范或数据有误，海关退单处理、“回执异常”：申报数据及其它异常情况。</w:t>
      </w:r>
    </w:p>
    <w:p>
      <w:pPr>
        <w:pStyle w:val="3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2.10清单回执记录查看</w:t>
      </w:r>
    </w:p>
    <w:p>
      <w:pPr>
        <w:spacing w:line="360" w:lineRule="auto"/>
      </w:pPr>
      <w:r>
        <w:drawing>
          <wp:inline distT="0" distB="0" distL="0" distR="0">
            <wp:extent cx="5274310" cy="1774190"/>
            <wp:effectExtent l="0" t="0" r="0" b="3810"/>
            <wp:docPr id="40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5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（1）清单数据申报成功后， 可通过【回执记录】查看清单申报进度信息，如下图所示：</w:t>
      </w:r>
    </w:p>
    <w:p>
      <w:pPr>
        <w:spacing w:line="360" w:lineRule="auto"/>
      </w:pPr>
      <w:r>
        <w:drawing>
          <wp:inline distT="0" distB="0" distL="0" distR="0">
            <wp:extent cx="5274310" cy="1927225"/>
            <wp:effectExtent l="0" t="0" r="0" b="3175"/>
            <wp:docPr id="41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7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</w:p>
    <w:p>
      <w:pPr>
        <w:pStyle w:val="3"/>
        <w:spacing w:before="0" w:after="0" w:line="360" w:lineRule="auto"/>
        <w:rPr>
          <w:sz w:val="28"/>
          <w:szCs w:val="28"/>
        </w:rPr>
      </w:pPr>
      <w:bookmarkStart w:id="17" w:name="_Toc35027403"/>
      <w:r>
        <w:rPr>
          <w:rFonts w:hint="eastAsia"/>
          <w:sz w:val="28"/>
          <w:szCs w:val="28"/>
        </w:rPr>
        <w:t>2.11海关总分单管理</w:t>
      </w:r>
      <w:bookmarkEnd w:id="17"/>
    </w:p>
    <w:p>
      <w:bookmarkStart w:id="18" w:name="_Toc35027404"/>
      <w:r>
        <w:rPr>
          <w:rFonts w:hint="eastAsia"/>
        </w:rPr>
        <w:t>海关总分单</w:t>
      </w:r>
      <w:bookmarkEnd w:id="18"/>
      <w:r>
        <w:rPr>
          <w:rFonts w:hint="eastAsia"/>
        </w:rPr>
        <w:t>数据接入</w:t>
      </w:r>
    </w:p>
    <w:p>
      <w:pPr>
        <w:spacing w:line="360" w:lineRule="auto"/>
      </w:pPr>
      <w:r>
        <w:drawing>
          <wp:inline distT="0" distB="0" distL="0" distR="0">
            <wp:extent cx="5274310" cy="1607185"/>
            <wp:effectExtent l="0" t="0" r="0" b="5715"/>
            <wp:docPr id="4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8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numPr>
          <w:ilvl w:val="0"/>
          <w:numId w:val="6"/>
        </w:numPr>
        <w:spacing w:line="360" w:lineRule="auto"/>
        <w:ind w:left="709" w:firstLineChars="0"/>
      </w:pPr>
      <w:r>
        <w:rPr>
          <w:rFonts w:hint="eastAsia"/>
        </w:rPr>
        <w:t>用户角色定义：电商企业或电子商务交易平台（总分单）</w:t>
      </w:r>
    </w:p>
    <w:p>
      <w:pPr>
        <w:pStyle w:val="15"/>
        <w:numPr>
          <w:ilvl w:val="0"/>
          <w:numId w:val="6"/>
        </w:numPr>
        <w:spacing w:line="360" w:lineRule="auto"/>
        <w:ind w:left="709" w:firstLineChars="0"/>
      </w:pPr>
      <w:r>
        <w:rPr>
          <w:rFonts w:hint="eastAsia"/>
        </w:rPr>
        <w:t>总分单申报节点：需要清单申报至海关后，海关回执状态必须在同一提单号下，所有清单为“审结”状态（比如：同一提单下部分清单为“审结”、部分清单为“转人工处理”该提单号将不能申报总分单），才可触发并申报总分单数据，否则海关认定无效总分单，做退单或数据异常处理。</w:t>
      </w:r>
    </w:p>
    <w:p>
      <w:pPr>
        <w:pStyle w:val="15"/>
        <w:numPr>
          <w:ilvl w:val="0"/>
          <w:numId w:val="6"/>
        </w:numPr>
        <w:spacing w:line="360" w:lineRule="auto"/>
        <w:ind w:left="709" w:firstLineChars="0"/>
      </w:pPr>
      <w:r>
        <w:rPr>
          <w:rFonts w:hint="eastAsia"/>
        </w:rPr>
        <w:t>用户根据总署统一版标准接口，接入跨境出口申报系统。</w:t>
      </w:r>
    </w:p>
    <w:p>
      <w:pPr>
        <w:pStyle w:val="15"/>
        <w:numPr>
          <w:ilvl w:val="0"/>
          <w:numId w:val="6"/>
        </w:numPr>
        <w:spacing w:line="360" w:lineRule="auto"/>
        <w:ind w:left="709" w:firstLineChars="0"/>
      </w:pPr>
      <w:r>
        <w:rPr>
          <w:rFonts w:hint="eastAsia"/>
        </w:rPr>
        <w:t>总分单数据接入后，可查看总分单详细信息，如下图所示：</w:t>
      </w:r>
    </w:p>
    <w:p>
      <w:pPr>
        <w:spacing w:line="360" w:lineRule="auto"/>
        <w:ind w:left="-11"/>
      </w:pPr>
      <w:r>
        <w:drawing>
          <wp:inline distT="0" distB="0" distL="0" distR="0">
            <wp:extent cx="5274310" cy="2122170"/>
            <wp:effectExtent l="0" t="0" r="0" b="0"/>
            <wp:docPr id="43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5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19" w:name="_Toc35027405"/>
      <w:r>
        <w:rPr>
          <w:rFonts w:hint="eastAsia"/>
        </w:rPr>
        <w:t>海关总分单</w:t>
      </w:r>
      <w:bookmarkEnd w:id="19"/>
      <w:r>
        <w:rPr>
          <w:rFonts w:hint="eastAsia"/>
        </w:rPr>
        <w:t>回执记录查看</w:t>
      </w:r>
    </w:p>
    <w:p>
      <w:r>
        <w:drawing>
          <wp:inline distT="0" distB="0" distL="0" distR="0">
            <wp:extent cx="5274310" cy="1447165"/>
            <wp:effectExtent l="0" t="0" r="0" b="635"/>
            <wp:docPr id="44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50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（1）总分单数据申报成功后， 可通过【回执记录】查看总分单申报进度信息，如下图所示：</w:t>
      </w:r>
    </w:p>
    <w:p>
      <w:pPr>
        <w:spacing w:line="360" w:lineRule="auto"/>
      </w:pPr>
      <w:r>
        <w:drawing>
          <wp:inline distT="0" distB="0" distL="0" distR="0">
            <wp:extent cx="5274310" cy="939165"/>
            <wp:effectExtent l="0" t="0" r="0" b="635"/>
            <wp:docPr id="4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56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bookmarkStart w:id="20" w:name="_Toc35027406"/>
      <w:r>
        <w:rPr>
          <w:rFonts w:hint="eastAsia"/>
          <w:sz w:val="28"/>
          <w:szCs w:val="28"/>
        </w:rPr>
        <w:t>2.12海关运抵单管理</w:t>
      </w:r>
      <w:bookmarkEnd w:id="20"/>
    </w:p>
    <w:p>
      <w:pPr>
        <w:rPr>
          <w:sz w:val="28"/>
          <w:szCs w:val="28"/>
        </w:rPr>
      </w:pPr>
      <w:bookmarkStart w:id="21" w:name="_Toc35027407"/>
      <w:r>
        <w:rPr>
          <w:rFonts w:hint="eastAsia"/>
          <w:sz w:val="28"/>
          <w:szCs w:val="28"/>
        </w:rPr>
        <w:t>海关</w:t>
      </w:r>
      <w:r>
        <w:rPr>
          <w:rFonts w:hint="eastAsia"/>
        </w:rPr>
        <w:t>运抵</w:t>
      </w:r>
      <w:r>
        <w:rPr>
          <w:rFonts w:hint="eastAsia"/>
          <w:sz w:val="28"/>
          <w:szCs w:val="28"/>
        </w:rPr>
        <w:t>单</w:t>
      </w:r>
      <w:bookmarkEnd w:id="21"/>
      <w:r>
        <w:rPr>
          <w:rFonts w:hint="eastAsia"/>
          <w:sz w:val="28"/>
          <w:szCs w:val="28"/>
        </w:rPr>
        <w:t>数据接入</w:t>
      </w:r>
    </w:p>
    <w:p>
      <w:pPr>
        <w:spacing w:line="360" w:lineRule="auto"/>
      </w:pPr>
      <w:r>
        <w:drawing>
          <wp:inline distT="0" distB="0" distL="0" distR="0">
            <wp:extent cx="5274310" cy="2000250"/>
            <wp:effectExtent l="0" t="0" r="0" b="6350"/>
            <wp:docPr id="4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7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numPr>
          <w:ilvl w:val="0"/>
          <w:numId w:val="7"/>
        </w:numPr>
        <w:spacing w:line="360" w:lineRule="auto"/>
        <w:ind w:left="567" w:firstLineChars="0"/>
      </w:pPr>
      <w:r>
        <w:rPr>
          <w:rFonts w:hint="eastAsia"/>
        </w:rPr>
        <w:t>用户角色定义：监管场所经营人（运抵单）</w:t>
      </w:r>
    </w:p>
    <w:p>
      <w:pPr>
        <w:pStyle w:val="15"/>
        <w:numPr>
          <w:ilvl w:val="0"/>
          <w:numId w:val="7"/>
        </w:numPr>
        <w:spacing w:line="360" w:lineRule="auto"/>
        <w:ind w:left="567" w:firstLineChars="0"/>
      </w:pPr>
      <w:r>
        <w:rPr>
          <w:rFonts w:hint="eastAsia"/>
        </w:rPr>
        <w:t>运抵单申报节点：电子商务企业实物到达监管场所后，触发并申报至海关；</w:t>
      </w:r>
    </w:p>
    <w:p>
      <w:pPr>
        <w:spacing w:line="360" w:lineRule="auto"/>
        <w:ind w:left="-153"/>
      </w:pPr>
      <w:r>
        <w:rPr>
          <w:rFonts w:hint="eastAsia"/>
        </w:rPr>
        <w:t xml:space="preserve">（3）用户根据总署统一版标准接口，接入跨境出口申报系统 </w:t>
      </w:r>
    </w:p>
    <w:p>
      <w:pPr>
        <w:spacing w:line="360" w:lineRule="auto"/>
        <w:ind w:left="-153"/>
      </w:pPr>
      <w:r>
        <w:rPr>
          <w:rFonts w:hint="eastAsia"/>
        </w:rPr>
        <w:t>（4）总分单数据接入后，可查看总分单详细信息，如下图所示：</w:t>
      </w:r>
    </w:p>
    <w:p>
      <w:pPr>
        <w:spacing w:line="360" w:lineRule="auto"/>
        <w:ind w:left="-153"/>
      </w:pPr>
      <w:r>
        <w:drawing>
          <wp:inline distT="0" distB="0" distL="0" distR="0">
            <wp:extent cx="5274310" cy="2256155"/>
            <wp:effectExtent l="0" t="0" r="0" b="4445"/>
            <wp:docPr id="4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58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运抵单回执记录查看</w:t>
      </w:r>
    </w:p>
    <w:p>
      <w:r>
        <w:drawing>
          <wp:inline distT="0" distB="0" distL="0" distR="0">
            <wp:extent cx="5274310" cy="2148840"/>
            <wp:effectExtent l="0" t="0" r="0" b="0"/>
            <wp:docPr id="49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60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（1）运抵单数据申报成功后， 可通过【回执记录】查看总分单申报进度信息，如下图所示：</w:t>
      </w:r>
    </w:p>
    <w:p>
      <w:pPr>
        <w:spacing w:line="360" w:lineRule="auto"/>
        <w:ind w:left="-153"/>
      </w:pPr>
      <w:r>
        <w:drawing>
          <wp:inline distT="0" distB="0" distL="0" distR="0">
            <wp:extent cx="5274310" cy="963930"/>
            <wp:effectExtent l="0" t="0" r="0" b="1270"/>
            <wp:docPr id="5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61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bookmarkStart w:id="22" w:name="_Toc35027408"/>
      <w:r>
        <w:rPr>
          <w:rFonts w:hint="eastAsia"/>
          <w:sz w:val="28"/>
          <w:szCs w:val="28"/>
        </w:rPr>
        <w:t>2.13海关离境单管理</w:t>
      </w:r>
      <w:bookmarkEnd w:id="22"/>
    </w:p>
    <w:p>
      <w:pPr>
        <w:rPr>
          <w:sz w:val="28"/>
          <w:szCs w:val="28"/>
        </w:rPr>
      </w:pPr>
      <w:bookmarkStart w:id="23" w:name="_Toc35027409"/>
      <w:r>
        <w:rPr>
          <w:rFonts w:hint="eastAsia"/>
          <w:sz w:val="28"/>
          <w:szCs w:val="28"/>
        </w:rPr>
        <w:t>海关离境单</w:t>
      </w:r>
      <w:bookmarkEnd w:id="23"/>
      <w:r>
        <w:rPr>
          <w:rFonts w:hint="eastAsia"/>
          <w:sz w:val="28"/>
          <w:szCs w:val="28"/>
        </w:rPr>
        <w:t>数据接入</w:t>
      </w:r>
    </w:p>
    <w:p>
      <w:pPr>
        <w:spacing w:line="360" w:lineRule="auto"/>
      </w:pPr>
      <w:r>
        <w:drawing>
          <wp:inline distT="0" distB="0" distL="0" distR="0">
            <wp:extent cx="5274310" cy="1706880"/>
            <wp:effectExtent l="0" t="0" r="0" b="0"/>
            <wp:docPr id="5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62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numPr>
          <w:ilvl w:val="0"/>
          <w:numId w:val="8"/>
        </w:numPr>
        <w:spacing w:line="360" w:lineRule="auto"/>
        <w:ind w:left="567" w:firstLineChars="0"/>
      </w:pPr>
      <w:r>
        <w:rPr>
          <w:rFonts w:hint="eastAsia"/>
        </w:rPr>
        <w:t>用户角色定义：物流企业（离境单）</w:t>
      </w:r>
    </w:p>
    <w:p>
      <w:pPr>
        <w:pStyle w:val="15"/>
        <w:numPr>
          <w:ilvl w:val="0"/>
          <w:numId w:val="8"/>
        </w:numPr>
        <w:spacing w:line="360" w:lineRule="auto"/>
        <w:ind w:left="567" w:firstLineChars="0"/>
      </w:pPr>
      <w:r>
        <w:rPr>
          <w:rFonts w:hint="eastAsia"/>
        </w:rPr>
        <w:t>离境单申报节点：（A）、机场9610业务离境单大多由海关系统自动触发生成，个别出现未离境，物流企业点击</w:t>
      </w:r>
      <w:r>
        <w:t>【</w:t>
      </w:r>
      <w:r>
        <w:rPr>
          <w:rFonts w:hint="eastAsia"/>
        </w:rPr>
        <w:t>申报</w:t>
      </w:r>
      <w:r>
        <w:t>】按钮进行人工触发申报离境单</w:t>
      </w:r>
      <w:r>
        <w:rPr>
          <w:rFonts w:hint="eastAsia"/>
        </w:rPr>
        <w:t>（建议：两周以上未自动触发离境的可与现场海关确认，人工触发）。（B）、邮政9610业务，以实际离境时间进行申报。</w:t>
      </w:r>
    </w:p>
    <w:p>
      <w:pPr>
        <w:pStyle w:val="15"/>
        <w:numPr>
          <w:ilvl w:val="0"/>
          <w:numId w:val="8"/>
        </w:numPr>
        <w:spacing w:line="360" w:lineRule="auto"/>
        <w:ind w:left="567" w:firstLineChars="0"/>
      </w:pPr>
      <w:r>
        <w:rPr>
          <w:rFonts w:hint="eastAsia"/>
        </w:rPr>
        <w:t>用户根据总署统一版标准接口，接入跨境出口申报系统</w:t>
      </w:r>
    </w:p>
    <w:p>
      <w:pPr>
        <w:pStyle w:val="15"/>
        <w:numPr>
          <w:ilvl w:val="0"/>
          <w:numId w:val="8"/>
        </w:numPr>
        <w:spacing w:line="360" w:lineRule="auto"/>
        <w:ind w:left="567" w:firstLineChars="0"/>
      </w:pPr>
      <w:r>
        <w:rPr>
          <w:rFonts w:hint="eastAsia"/>
        </w:rPr>
        <w:t>离境单数据接入后，可查看离境单详细信息，如下图所示：</w:t>
      </w:r>
    </w:p>
    <w:p>
      <w:pPr>
        <w:spacing w:line="360" w:lineRule="auto"/>
        <w:ind w:left="-153"/>
      </w:pPr>
      <w:r>
        <w:drawing>
          <wp:inline distT="0" distB="0" distL="0" distR="0">
            <wp:extent cx="5274310" cy="1698625"/>
            <wp:effectExtent l="0" t="0" r="0" b="3175"/>
            <wp:docPr id="5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63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bookmarkStart w:id="24" w:name="_Toc35027410"/>
      <w:r>
        <w:rPr>
          <w:rFonts w:hint="eastAsia"/>
          <w:sz w:val="28"/>
          <w:szCs w:val="28"/>
        </w:rPr>
        <w:t>离境单</w:t>
      </w:r>
      <w:bookmarkEnd w:id="24"/>
      <w:r>
        <w:rPr>
          <w:rFonts w:hint="eastAsia"/>
          <w:sz w:val="28"/>
          <w:szCs w:val="28"/>
        </w:rPr>
        <w:t>回执记录查看</w:t>
      </w:r>
    </w:p>
    <w:p>
      <w:pPr>
        <w:widowControl/>
        <w:jc w:val="left"/>
      </w:pPr>
      <w:r>
        <w:drawing>
          <wp:inline distT="0" distB="0" distL="0" distR="0">
            <wp:extent cx="5274310" cy="1656715"/>
            <wp:effectExtent l="0" t="0" r="0" b="0"/>
            <wp:docPr id="5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64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（1）离境单数据申报成功后， 可通过【回执记录】查看离境单申报进度信息，如下图所示：</w:t>
      </w:r>
    </w:p>
    <w:p>
      <w:pPr>
        <w:spacing w:line="360" w:lineRule="auto"/>
        <w:ind w:left="-153"/>
      </w:pPr>
      <w:r>
        <w:drawing>
          <wp:inline distT="0" distB="0" distL="0" distR="0">
            <wp:extent cx="5274310" cy="1024890"/>
            <wp:effectExtent l="0" t="0" r="0" b="3810"/>
            <wp:docPr id="55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66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2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2.14海关撤销申请单管理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撤销</w:t>
      </w:r>
      <w:r>
        <w:rPr>
          <w:rFonts w:hint="eastAsia"/>
        </w:rPr>
        <w:t>申请</w:t>
      </w:r>
      <w:r>
        <w:rPr>
          <w:rFonts w:hint="eastAsia"/>
          <w:sz w:val="28"/>
          <w:szCs w:val="28"/>
        </w:rPr>
        <w:t>单数据接入</w:t>
      </w:r>
    </w:p>
    <w:p>
      <w:pPr>
        <w:spacing w:line="360" w:lineRule="auto"/>
      </w:pPr>
      <w:r>
        <w:drawing>
          <wp:inline distT="0" distB="0" distL="0" distR="0">
            <wp:extent cx="5274310" cy="1903095"/>
            <wp:effectExtent l="0" t="0" r="0" b="1905"/>
            <wp:docPr id="59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72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（1）用户角色定义：电商企业/电商平台（撤销申请单）</w:t>
      </w:r>
    </w:p>
    <w:p>
      <w:pPr>
        <w:spacing w:line="360" w:lineRule="auto"/>
      </w:pPr>
      <w:r>
        <w:rPr>
          <w:rFonts w:hint="eastAsia"/>
        </w:rPr>
        <w:t>（2）用户根据总署统一版标准接口，接入跨境出口申报系统</w:t>
      </w:r>
    </w:p>
    <w:p>
      <w:pPr>
        <w:spacing w:line="360" w:lineRule="auto"/>
      </w:pPr>
      <w:r>
        <w:rPr>
          <w:rFonts w:hint="eastAsia"/>
        </w:rPr>
        <w:t>（3）撤销申请单数据接入后，可查看撤销申请单详细信息，如下图所示：</w:t>
      </w:r>
    </w:p>
    <w:p>
      <w:pPr>
        <w:spacing w:line="360" w:lineRule="auto"/>
        <w:ind w:left="-153"/>
      </w:pPr>
      <w:r>
        <w:drawing>
          <wp:inline distT="0" distB="0" distL="0" distR="0">
            <wp:extent cx="5274310" cy="1534795"/>
            <wp:effectExtent l="0" t="0" r="0" b="1905"/>
            <wp:docPr id="65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73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撤销申请单回执记录查看</w:t>
      </w:r>
    </w:p>
    <w:p>
      <w:pPr>
        <w:widowControl/>
        <w:jc w:val="left"/>
      </w:pPr>
      <w:r>
        <w:drawing>
          <wp:inline distT="0" distB="0" distL="0" distR="0">
            <wp:extent cx="5274310" cy="1887220"/>
            <wp:effectExtent l="0" t="0" r="0" b="5080"/>
            <wp:docPr id="67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74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（1）撤销申请单数据申报成功后， 可通过【回执记录】查看撤销申请单申报进度信息，如下图所示：</w:t>
      </w:r>
    </w:p>
    <w:p>
      <w:pPr>
        <w:spacing w:line="360" w:lineRule="auto"/>
        <w:ind w:left="-153"/>
      </w:pPr>
      <w:r>
        <w:drawing>
          <wp:inline distT="0" distB="0" distL="0" distR="0">
            <wp:extent cx="5274310" cy="902335"/>
            <wp:effectExtent l="0" t="0" r="0" b="0"/>
            <wp:docPr id="68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75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rPr>
          <w:sz w:val="28"/>
        </w:rPr>
      </w:pPr>
      <w:r>
        <w:rPr>
          <w:rFonts w:hint="eastAsia"/>
          <w:sz w:val="28"/>
        </w:rPr>
        <w:t>二、</w:t>
      </w:r>
      <w:r>
        <w:rPr>
          <w:sz w:val="28"/>
        </w:rPr>
        <w:t>无票免征备案管理</w:t>
      </w:r>
    </w:p>
    <w:p>
      <w:pPr>
        <w:numPr>
          <w:ilvl w:val="0"/>
          <w:numId w:val="9"/>
        </w:numPr>
        <w:spacing w:line="360" w:lineRule="auto"/>
      </w:pPr>
      <w:r>
        <w:t>税务局端</w:t>
      </w:r>
    </w:p>
    <w:p>
      <w:pPr>
        <w:numPr>
          <w:ilvl w:val="0"/>
          <w:numId w:val="10"/>
        </w:numPr>
        <w:spacing w:line="360" w:lineRule="auto"/>
      </w:pPr>
      <w:r>
        <w:t>用户角色定义：临沂各级税务局</w:t>
      </w:r>
    </w:p>
    <w:p>
      <w:pPr>
        <w:numPr>
          <w:ilvl w:val="0"/>
          <w:numId w:val="10"/>
        </w:numPr>
        <w:spacing w:line="360" w:lineRule="auto"/>
      </w:pPr>
      <w:r>
        <w:t>功能简介：税务局审核并查看企业按月报备的出口结关清单数据</w:t>
      </w:r>
    </w:p>
    <w:p>
      <w:pPr>
        <w:spacing w:line="360" w:lineRule="auto"/>
      </w:pPr>
      <w:r>
        <w:t>1.1企业报备数据查看</w:t>
      </w:r>
    </w:p>
    <w:p>
      <w:pPr>
        <w:spacing w:line="360" w:lineRule="auto"/>
      </w:pPr>
      <w:r>
        <w:drawing>
          <wp:inline distT="0" distB="0" distL="114300" distR="114300">
            <wp:extent cx="5259705" cy="1301750"/>
            <wp:effectExtent l="0" t="0" r="23495" b="19050"/>
            <wp:docPr id="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1"/>
        </w:numPr>
        <w:spacing w:line="360" w:lineRule="auto"/>
      </w:pPr>
      <w:r>
        <w:t>企业报备给税务局的结关清单会显示在对应税务局的账号下，税务局可在该功能下查看到所有企业报备的数据；</w:t>
      </w:r>
    </w:p>
    <w:p>
      <w:pPr>
        <w:numPr>
          <w:ilvl w:val="0"/>
          <w:numId w:val="11"/>
        </w:numPr>
        <w:spacing w:line="360" w:lineRule="auto"/>
      </w:pPr>
      <w:r>
        <w:t>在条件搜索框输入条件后，点击【查询】，则显示符合对应条件的清单；</w:t>
      </w:r>
    </w:p>
    <w:p>
      <w:pPr>
        <w:numPr>
          <w:ilvl w:val="0"/>
          <w:numId w:val="11"/>
        </w:numPr>
        <w:spacing w:line="360" w:lineRule="auto"/>
      </w:pPr>
      <w:r>
        <w:t>点击【重置】，清空所有已输入的查询条件；</w:t>
      </w:r>
    </w:p>
    <w:p>
      <w:pPr>
        <w:numPr>
          <w:ilvl w:val="0"/>
          <w:numId w:val="11"/>
        </w:numPr>
        <w:spacing w:line="360" w:lineRule="auto"/>
      </w:pPr>
      <w:r>
        <w:t>在操作列中，税务局可通过【清单查看】查看企业报备清单的详细情况，通过【退回】可将有疑问的清单退回企业即报备不通过。</w:t>
      </w:r>
    </w:p>
    <w:p>
      <w:pPr>
        <w:spacing w:line="360" w:lineRule="auto"/>
      </w:pPr>
      <w:r>
        <w:t>1.2清单明细查询</w:t>
      </w:r>
    </w:p>
    <w:p>
      <w:r>
        <w:drawing>
          <wp:inline distT="0" distB="0" distL="114300" distR="114300">
            <wp:extent cx="5268595" cy="1393190"/>
            <wp:effectExtent l="0" t="0" r="14605" b="3810"/>
            <wp:docPr id="7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3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93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2"/>
        </w:numPr>
        <w:spacing w:line="360" w:lineRule="auto"/>
      </w:pPr>
      <w:r>
        <w:t>已报备的结关清单可以在本功能下进行汇总查询和查看</w:t>
      </w:r>
    </w:p>
    <w:p>
      <w:pPr>
        <w:numPr>
          <w:ilvl w:val="0"/>
          <w:numId w:val="12"/>
        </w:numPr>
        <w:spacing w:line="360" w:lineRule="auto"/>
      </w:pPr>
      <w:r>
        <w:t>输入查询条件，点击【查询】，可查看到符合查询条件的企业结关清单</w:t>
      </w:r>
    </w:p>
    <w:p>
      <w:pPr>
        <w:numPr>
          <w:ilvl w:val="0"/>
          <w:numId w:val="12"/>
        </w:numPr>
        <w:spacing w:line="360" w:lineRule="auto"/>
      </w:pPr>
      <w:r>
        <w:t>点击清单编号，可查看清单的详情</w:t>
      </w:r>
    </w:p>
    <w:p>
      <w:pPr>
        <w:numPr>
          <w:ilvl w:val="0"/>
          <w:numId w:val="9"/>
        </w:numPr>
        <w:spacing w:line="360" w:lineRule="auto"/>
      </w:pPr>
      <w:r>
        <w:t>企业端</w:t>
      </w:r>
    </w:p>
    <w:p>
      <w:pPr>
        <w:numPr>
          <w:ilvl w:val="0"/>
          <w:numId w:val="13"/>
        </w:numPr>
        <w:spacing w:line="360" w:lineRule="auto"/>
      </w:pPr>
      <w:r>
        <w:t>用户角色定义：</w:t>
      </w:r>
      <w:r>
        <w:rPr>
          <w:rFonts w:hint="eastAsia"/>
        </w:rPr>
        <w:t>电子商务企业或电子商务交易平台（注：清单申报时的申报主体）</w:t>
      </w:r>
    </w:p>
    <w:p>
      <w:pPr>
        <w:numPr>
          <w:ilvl w:val="0"/>
          <w:numId w:val="13"/>
        </w:numPr>
        <w:spacing w:line="360" w:lineRule="auto"/>
      </w:pPr>
      <w:r>
        <w:t>功能简介:申报主体按月将状态为“结关”的清单，通过平台向税务局进行备案，同时可以汇总查询报备结关清单数据</w:t>
      </w:r>
    </w:p>
    <w:p>
      <w:pPr>
        <w:spacing w:line="360" w:lineRule="auto"/>
      </w:pPr>
      <w:r>
        <w:t>2.1企业数据报备</w:t>
      </w:r>
    </w:p>
    <w:p>
      <w:r>
        <w:drawing>
          <wp:inline distT="0" distB="0" distL="114300" distR="114300">
            <wp:extent cx="5264150" cy="1256030"/>
            <wp:effectExtent l="0" t="0" r="19050" b="13970"/>
            <wp:docPr id="7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4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256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4"/>
        </w:numPr>
        <w:spacing w:line="360" w:lineRule="auto"/>
      </w:pPr>
      <w:r>
        <w:rPr>
          <w:rFonts w:hint="eastAsia"/>
        </w:rPr>
        <w:t>用户需按月，将该月所有结关清单向税务局进行报备。</w:t>
      </w:r>
    </w:p>
    <w:p>
      <w:pPr>
        <w:numPr>
          <w:ilvl w:val="0"/>
          <w:numId w:val="14"/>
        </w:numPr>
        <w:spacing w:line="360" w:lineRule="auto"/>
      </w:pPr>
      <w:r>
        <w:t>条件框输入结关日期，点击【查询】搜索相应结关日期的清单，点击【重置】清空输入的条件</w:t>
      </w:r>
    </w:p>
    <w:p>
      <w:pPr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）用户点击【数据报备】按钮，则弹出选择所属税务局，用户选择并确定提交，数据发送至该用户所属税务局。</w:t>
      </w:r>
    </w:p>
    <w:p>
      <w:pPr>
        <w:jc w:val="center"/>
      </w:pPr>
      <w:r>
        <w:drawing>
          <wp:inline distT="0" distB="0" distL="114300" distR="114300">
            <wp:extent cx="2809875" cy="2668905"/>
            <wp:effectExtent l="0" t="0" r="9525" b="23495"/>
            <wp:docPr id="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668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t>2.2清单明细查询</w:t>
      </w:r>
    </w:p>
    <w:p>
      <w:r>
        <w:drawing>
          <wp:inline distT="0" distB="0" distL="114300" distR="114300">
            <wp:extent cx="5267960" cy="1284605"/>
            <wp:effectExtent l="0" t="0" r="15240" b="10795"/>
            <wp:docPr id="7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5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84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5"/>
        </w:numPr>
        <w:spacing w:line="360" w:lineRule="auto"/>
      </w:pPr>
      <w:r>
        <w:t>在条件框输入条件后点击【查询】，可搜索并查看相关清单，点击【重置】，则清空所输入的条件</w:t>
      </w:r>
    </w:p>
    <w:p>
      <w:pPr>
        <w:numPr>
          <w:ilvl w:val="0"/>
          <w:numId w:val="15"/>
        </w:numPr>
        <w:spacing w:line="360" w:lineRule="auto"/>
      </w:pPr>
      <w:r>
        <w:rPr>
          <w:rFonts w:hint="eastAsia"/>
        </w:rPr>
        <w:t>用户可点击【清单编号】、进入清单详情界面</w:t>
      </w:r>
    </w:p>
    <w:p>
      <w:pPr>
        <w:numPr>
          <w:ilvl w:val="0"/>
          <w:numId w:val="15"/>
        </w:numPr>
        <w:spacing w:line="360" w:lineRule="auto"/>
      </w:pPr>
      <w:r>
        <w:t>点击【下载上一年报表】，再【确定】，直接下载当前年份的上一年的所有报备清单数据清单</w:t>
      </w:r>
    </w:p>
    <w:p>
      <w:pPr>
        <w:jc w:val="center"/>
      </w:pPr>
      <w:r>
        <w:drawing>
          <wp:inline distT="0" distB="0" distL="114300" distR="114300">
            <wp:extent cx="2868295" cy="1644650"/>
            <wp:effectExtent l="0" t="0" r="1905" b="6350"/>
            <wp:docPr id="7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6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8295" cy="1644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sz w:val="28"/>
        </w:rPr>
      </w:pPr>
      <w:r>
        <w:rPr>
          <w:rFonts w:hint="eastAsia"/>
          <w:sz w:val="28"/>
        </w:rPr>
        <w:t>四、权限管理</w:t>
      </w:r>
    </w:p>
    <w:p>
      <w:r>
        <w:rPr>
          <w:rFonts w:hint="eastAsia"/>
        </w:rPr>
        <w:t>功能模块管理：针对功能模块的管理，按照对象进行</w:t>
      </w:r>
    </w:p>
    <w:p>
      <w:r>
        <w:rPr>
          <w:rFonts w:hint="eastAsia"/>
        </w:rPr>
        <w:drawing>
          <wp:inline distT="0" distB="0" distL="0" distR="0">
            <wp:extent cx="5274310" cy="1927860"/>
            <wp:effectExtent l="19050" t="0" r="2540" b="0"/>
            <wp:docPr id="8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25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8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角色管理：按照角色对象进行授权管理</w:t>
      </w:r>
    </w:p>
    <w:p>
      <w:r>
        <w:rPr>
          <w:rFonts w:hint="eastAsia"/>
        </w:rPr>
        <w:drawing>
          <wp:inline distT="0" distB="0" distL="0" distR="0">
            <wp:extent cx="5274310" cy="1765300"/>
            <wp:effectExtent l="19050" t="0" r="2540" b="0"/>
            <wp:docPr id="8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28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账号管理：新增账号管理，可以增加各种类型权限的角色账号</w:t>
      </w:r>
    </w:p>
    <w:p>
      <w:r>
        <w:rPr>
          <w:rFonts w:hint="eastAsia"/>
        </w:rPr>
        <w:drawing>
          <wp:inline distT="0" distB="0" distL="0" distR="0">
            <wp:extent cx="5274310" cy="1837055"/>
            <wp:effectExtent l="19050" t="0" r="2540" b="0"/>
            <wp:docPr id="89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3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消息处理频次管理</w:t>
      </w:r>
    </w:p>
    <w:p>
      <w:r>
        <w:rPr>
          <w:rFonts w:hint="eastAsia"/>
        </w:rPr>
        <w:drawing>
          <wp:inline distT="0" distB="0" distL="0" distR="0">
            <wp:extent cx="5274310" cy="2040255"/>
            <wp:effectExtent l="19050" t="0" r="2540" b="0"/>
            <wp:docPr id="90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34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0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sz w:val="28"/>
        </w:rPr>
      </w:pPr>
      <w:r>
        <w:rPr>
          <w:rFonts w:hint="eastAsia"/>
          <w:sz w:val="28"/>
        </w:rPr>
        <w:t>五、系统管理</w:t>
      </w:r>
    </w:p>
    <w:p>
      <w:r>
        <w:rPr>
          <w:rFonts w:hint="eastAsia"/>
        </w:rPr>
        <w:t>企业基本管理：针对企业的基本信息进行</w:t>
      </w:r>
      <w:bookmarkStart w:id="25" w:name="_GoBack"/>
      <w:bookmarkEnd w:id="25"/>
      <w:r>
        <w:rPr>
          <w:rFonts w:hint="eastAsia"/>
        </w:rPr>
        <w:t>管理</w:t>
      </w:r>
    </w:p>
    <w:p>
      <w:r>
        <w:rPr>
          <w:rFonts w:hint="eastAsia"/>
        </w:rPr>
        <w:drawing>
          <wp:inline distT="0" distB="0" distL="0" distR="0">
            <wp:extent cx="5274310" cy="1771015"/>
            <wp:effectExtent l="19050" t="0" r="2540" b="0"/>
            <wp:docPr id="8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19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1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企业订阅管理：企业订阅回调地址的管理</w:t>
      </w:r>
    </w:p>
    <w:p>
      <w:r>
        <w:rPr>
          <w:rFonts w:hint="eastAsia"/>
        </w:rPr>
        <w:drawing>
          <wp:inline distT="0" distB="0" distL="0" distR="0">
            <wp:extent cx="5274310" cy="1724025"/>
            <wp:effectExtent l="19050" t="0" r="2540" b="0"/>
            <wp:docPr id="8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22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60170663"/>
      <w:docPartObj>
        <w:docPartGallery w:val="autotext"/>
      </w:docPartObj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24</w:t>
        </w:r>
        <w:r>
          <w:rPr>
            <w:lang w:val="zh-CN"/>
          </w:rPr>
          <w:fldChar w:fldCharType="end"/>
        </w:r>
      </w:p>
    </w:sdtContent>
  </w:sdt>
  <w:p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B2D01"/>
    <w:multiLevelType w:val="multilevel"/>
    <w:tmpl w:val="0DEB2D01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274247F3"/>
    <w:multiLevelType w:val="multilevel"/>
    <w:tmpl w:val="274247F3"/>
    <w:lvl w:ilvl="0" w:tentative="0">
      <w:start w:val="1"/>
      <w:numFmt w:val="decimal"/>
      <w:lvlText w:val="（%1）"/>
      <w:lvlJc w:val="left"/>
      <w:pPr>
        <w:ind w:left="103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29CF15F0"/>
    <w:multiLevelType w:val="multilevel"/>
    <w:tmpl w:val="29CF15F0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BA0529B"/>
    <w:multiLevelType w:val="multilevel"/>
    <w:tmpl w:val="2BA0529B"/>
    <w:lvl w:ilvl="0" w:tentative="0">
      <w:start w:val="1"/>
      <w:numFmt w:val="decimal"/>
      <w:lvlText w:val="（%1）"/>
      <w:lvlJc w:val="left"/>
      <w:pPr>
        <w:ind w:left="103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4">
    <w:nsid w:val="3C862ADF"/>
    <w:multiLevelType w:val="multilevel"/>
    <w:tmpl w:val="3C862ADF"/>
    <w:lvl w:ilvl="0" w:tentative="0">
      <w:start w:val="1"/>
      <w:numFmt w:val="decimal"/>
      <w:lvlText w:val="（%1）"/>
      <w:lvlJc w:val="left"/>
      <w:pPr>
        <w:ind w:left="103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5">
    <w:nsid w:val="3FF0277F"/>
    <w:multiLevelType w:val="multilevel"/>
    <w:tmpl w:val="3FF0277F"/>
    <w:lvl w:ilvl="0" w:tentative="0">
      <w:start w:val="1"/>
      <w:numFmt w:val="decimal"/>
      <w:lvlText w:val="（%1）"/>
      <w:lvlJc w:val="left"/>
      <w:pPr>
        <w:ind w:left="103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6">
    <w:nsid w:val="43C101CB"/>
    <w:multiLevelType w:val="multilevel"/>
    <w:tmpl w:val="43C101CB"/>
    <w:lvl w:ilvl="0" w:tentative="0">
      <w:start w:val="1"/>
      <w:numFmt w:val="decimal"/>
      <w:lvlText w:val="（%1）"/>
      <w:lvlJc w:val="left"/>
      <w:pPr>
        <w:ind w:left="103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7">
    <w:nsid w:val="5ABF2995"/>
    <w:multiLevelType w:val="multilevel"/>
    <w:tmpl w:val="5ABF2995"/>
    <w:lvl w:ilvl="0" w:tentative="0">
      <w:start w:val="1"/>
      <w:numFmt w:val="decimal"/>
      <w:lvlText w:val="（%1）"/>
      <w:lvlJc w:val="left"/>
      <w:pPr>
        <w:ind w:left="103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8">
    <w:nsid w:val="5FACA733"/>
    <w:multiLevelType w:val="singleLevel"/>
    <w:tmpl w:val="5FACA733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5FACA7AC"/>
    <w:multiLevelType w:val="singleLevel"/>
    <w:tmpl w:val="5FACA7AC"/>
    <w:lvl w:ilvl="0" w:tentative="0">
      <w:start w:val="1"/>
      <w:numFmt w:val="decimal"/>
      <w:suff w:val="nothing"/>
      <w:lvlText w:val="（%1）"/>
      <w:lvlJc w:val="left"/>
    </w:lvl>
  </w:abstractNum>
  <w:abstractNum w:abstractNumId="10">
    <w:nsid w:val="5FACA975"/>
    <w:multiLevelType w:val="singleLevel"/>
    <w:tmpl w:val="5FACA975"/>
    <w:lvl w:ilvl="0" w:tentative="0">
      <w:start w:val="1"/>
      <w:numFmt w:val="decimal"/>
      <w:suff w:val="nothing"/>
      <w:lvlText w:val="（%1）"/>
      <w:lvlJc w:val="left"/>
    </w:lvl>
  </w:abstractNum>
  <w:abstractNum w:abstractNumId="11">
    <w:nsid w:val="5FACB282"/>
    <w:multiLevelType w:val="singleLevel"/>
    <w:tmpl w:val="5FACB282"/>
    <w:lvl w:ilvl="0" w:tentative="0">
      <w:start w:val="1"/>
      <w:numFmt w:val="decimal"/>
      <w:suff w:val="nothing"/>
      <w:lvlText w:val="（%1）"/>
      <w:lvlJc w:val="left"/>
    </w:lvl>
  </w:abstractNum>
  <w:abstractNum w:abstractNumId="12">
    <w:nsid w:val="5FACB4DC"/>
    <w:multiLevelType w:val="singleLevel"/>
    <w:tmpl w:val="5FACB4DC"/>
    <w:lvl w:ilvl="0" w:tentative="0">
      <w:start w:val="1"/>
      <w:numFmt w:val="decimal"/>
      <w:suff w:val="nothing"/>
      <w:lvlText w:val="（%1）"/>
      <w:lvlJc w:val="left"/>
    </w:lvl>
  </w:abstractNum>
  <w:abstractNum w:abstractNumId="13">
    <w:nsid w:val="5FACD4AC"/>
    <w:multiLevelType w:val="singleLevel"/>
    <w:tmpl w:val="5FACD4AC"/>
    <w:lvl w:ilvl="0" w:tentative="0">
      <w:start w:val="1"/>
      <w:numFmt w:val="decimal"/>
      <w:suff w:val="nothing"/>
      <w:lvlText w:val="（%1）"/>
      <w:lvlJc w:val="left"/>
    </w:lvl>
  </w:abstractNum>
  <w:abstractNum w:abstractNumId="14">
    <w:nsid w:val="5FACD6F6"/>
    <w:multiLevelType w:val="singleLevel"/>
    <w:tmpl w:val="5FACD6F6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E5B61"/>
    <w:rsid w:val="000A0500"/>
    <w:rsid w:val="000A7DE2"/>
    <w:rsid w:val="001614A1"/>
    <w:rsid w:val="001B4222"/>
    <w:rsid w:val="0047588F"/>
    <w:rsid w:val="00483268"/>
    <w:rsid w:val="00550392"/>
    <w:rsid w:val="0058184B"/>
    <w:rsid w:val="006E5B61"/>
    <w:rsid w:val="00923166"/>
    <w:rsid w:val="009551DA"/>
    <w:rsid w:val="009D4A1D"/>
    <w:rsid w:val="00A23DBA"/>
    <w:rsid w:val="00BB4145"/>
    <w:rsid w:val="00C43096"/>
    <w:rsid w:val="00D90D71"/>
    <w:rsid w:val="00DC6B76"/>
    <w:rsid w:val="00EA7E22"/>
    <w:rsid w:val="31B5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1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Char"/>
    <w:basedOn w:val="10"/>
    <w:link w:val="8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7"/>
    <w:qFormat/>
    <w:uiPriority w:val="99"/>
    <w:rPr>
      <w:sz w:val="18"/>
      <w:szCs w:val="18"/>
    </w:rPr>
  </w:style>
  <w:style w:type="character" w:customStyle="1" w:styleId="13">
    <w:name w:val="标题 1 Char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4">
    <w:name w:val="标题 2 Char"/>
    <w:basedOn w:val="10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character" w:customStyle="1" w:styleId="16">
    <w:name w:val="批注框文本 Char"/>
    <w:basedOn w:val="10"/>
    <w:link w:val="6"/>
    <w:semiHidden/>
    <w:qFormat/>
    <w:uiPriority w:val="99"/>
    <w:rPr>
      <w:sz w:val="18"/>
      <w:szCs w:val="18"/>
    </w:rPr>
  </w:style>
  <w:style w:type="character" w:customStyle="1" w:styleId="17">
    <w:name w:val="标题 3 Char"/>
    <w:basedOn w:val="10"/>
    <w:link w:val="4"/>
    <w:semiHidden/>
    <w:qFormat/>
    <w:uiPriority w:val="9"/>
    <w:rPr>
      <w:b/>
      <w:bCs/>
      <w:sz w:val="32"/>
      <w:szCs w:val="32"/>
    </w:rPr>
  </w:style>
  <w:style w:type="character" w:customStyle="1" w:styleId="18">
    <w:name w:val="文档结构图 Char"/>
    <w:basedOn w:val="10"/>
    <w:link w:val="5"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5" Type="http://schemas.openxmlformats.org/officeDocument/2006/relationships/fontTable" Target="fontTable.xml"/><Relationship Id="rId64" Type="http://schemas.openxmlformats.org/officeDocument/2006/relationships/numbering" Target="numbering.xml"/><Relationship Id="rId63" Type="http://schemas.openxmlformats.org/officeDocument/2006/relationships/customXml" Target="../customXml/item1.xml"/><Relationship Id="rId62" Type="http://schemas.openxmlformats.org/officeDocument/2006/relationships/image" Target="media/image58.png"/><Relationship Id="rId61" Type="http://schemas.openxmlformats.org/officeDocument/2006/relationships/image" Target="media/image57.png"/><Relationship Id="rId60" Type="http://schemas.openxmlformats.org/officeDocument/2006/relationships/image" Target="media/image56.png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593</Words>
  <Characters>3383</Characters>
  <Lines>28</Lines>
  <Paragraphs>7</Paragraphs>
  <TotalTime>42</TotalTime>
  <ScaleCrop>false</ScaleCrop>
  <LinksUpToDate>false</LinksUpToDate>
  <CharactersWithSpaces>3969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2020-11-12T07:05:00Z</dcterms:created>
  <dc:creator>nbeport</dc:creator>
  <cp:lastModifiedBy>长风浪客</cp:lastModifiedBy>
  <dcterms:modified xsi:type="dcterms:W3CDTF">2020-11-19T00:40:33Z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